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2B5" w:rsidRPr="005342AF" w:rsidRDefault="00A052B5" w:rsidP="00F77D05">
      <w:pPr>
        <w:jc w:val="both"/>
        <w:rPr>
          <w:rFonts w:ascii="Garamond" w:hAnsi="Garamond" w:cs="Arial"/>
          <w:b/>
          <w:bCs/>
          <w:sz w:val="28"/>
          <w:szCs w:val="28"/>
          <w:u w:val="single"/>
        </w:rPr>
      </w:pPr>
    </w:p>
    <w:p w:rsidR="00A052B5" w:rsidRPr="005342AF" w:rsidRDefault="00A052B5" w:rsidP="00F77D05">
      <w:pPr>
        <w:jc w:val="both"/>
        <w:rPr>
          <w:rFonts w:ascii="Garamond" w:hAnsi="Garamond" w:cs="Arial"/>
          <w:b/>
          <w:bCs/>
          <w:sz w:val="28"/>
          <w:szCs w:val="28"/>
          <w:u w:val="single"/>
        </w:rPr>
      </w:pPr>
    </w:p>
    <w:p w:rsidR="00A052B5" w:rsidRPr="005342AF" w:rsidRDefault="00A052B5" w:rsidP="00FD24A4">
      <w:pPr>
        <w:jc w:val="center"/>
        <w:rPr>
          <w:rFonts w:ascii="Garamond" w:hAnsi="Garamond" w:cs="Arial"/>
          <w:b/>
          <w:bCs/>
          <w:sz w:val="28"/>
          <w:szCs w:val="28"/>
          <w:u w:val="single"/>
        </w:rPr>
      </w:pPr>
    </w:p>
    <w:p w:rsidR="00A052B5" w:rsidRPr="005342AF" w:rsidRDefault="00A052B5" w:rsidP="00FD24A4">
      <w:pPr>
        <w:jc w:val="center"/>
        <w:rPr>
          <w:rFonts w:ascii="Garamond" w:hAnsi="Garamond" w:cs="Arial"/>
          <w:b/>
          <w:bCs/>
          <w:sz w:val="28"/>
          <w:szCs w:val="28"/>
        </w:rPr>
      </w:pPr>
      <w:r w:rsidRPr="005342AF">
        <w:rPr>
          <w:rFonts w:ascii="Garamond" w:hAnsi="Garamond" w:cs="Arial"/>
          <w:b/>
          <w:bCs/>
          <w:sz w:val="28"/>
          <w:szCs w:val="28"/>
        </w:rPr>
        <w:t>“Could Stock Option Have Predicted the Current Market Tumble?”</w:t>
      </w:r>
    </w:p>
    <w:p w:rsidR="00A052B5" w:rsidRPr="005342AF" w:rsidRDefault="00A052B5" w:rsidP="00FD24A4">
      <w:pPr>
        <w:jc w:val="center"/>
        <w:rPr>
          <w:rFonts w:ascii="Garamond" w:hAnsi="Garamond" w:cs="Arial"/>
          <w:b/>
          <w:bCs/>
          <w:sz w:val="28"/>
          <w:szCs w:val="28"/>
        </w:rPr>
      </w:pPr>
    </w:p>
    <w:p w:rsidR="00A052B5" w:rsidRPr="005342AF" w:rsidRDefault="00A052B5" w:rsidP="00FD24A4">
      <w:pPr>
        <w:jc w:val="center"/>
        <w:rPr>
          <w:rFonts w:ascii="Garamond" w:hAnsi="Garamond" w:cs="Arial"/>
          <w:b/>
          <w:bCs/>
          <w:i/>
          <w:iCs/>
          <w:sz w:val="28"/>
          <w:szCs w:val="28"/>
        </w:rPr>
      </w:pPr>
      <w:r w:rsidRPr="005342AF">
        <w:rPr>
          <w:rFonts w:ascii="Garamond" w:hAnsi="Garamond" w:cs="Arial"/>
          <w:b/>
          <w:bCs/>
          <w:i/>
          <w:iCs/>
          <w:sz w:val="28"/>
          <w:szCs w:val="28"/>
        </w:rPr>
        <w:t>-- A study of Options-Based Market Sentiment Indicators</w:t>
      </w:r>
    </w:p>
    <w:p w:rsidR="00A052B5" w:rsidRPr="005342AF" w:rsidRDefault="00A052B5" w:rsidP="00FD24A4">
      <w:pPr>
        <w:jc w:val="center"/>
        <w:rPr>
          <w:rFonts w:ascii="Garamond" w:hAnsi="Garamond" w:cs="Arial"/>
          <w:b/>
          <w:bCs/>
          <w:sz w:val="28"/>
          <w:szCs w:val="28"/>
        </w:rPr>
      </w:pPr>
    </w:p>
    <w:p w:rsidR="00A052B5" w:rsidRPr="005342AF" w:rsidRDefault="00A052B5" w:rsidP="00FD24A4">
      <w:pPr>
        <w:jc w:val="center"/>
        <w:rPr>
          <w:rFonts w:ascii="Garamond" w:hAnsi="Garamond" w:cs="Arial"/>
          <w:b/>
          <w:bCs/>
          <w:sz w:val="28"/>
          <w:szCs w:val="28"/>
        </w:rPr>
      </w:pPr>
      <w:r w:rsidRPr="005342AF">
        <w:rPr>
          <w:rFonts w:ascii="Garamond" w:hAnsi="Garamond" w:cs="Arial"/>
          <w:b/>
          <w:bCs/>
          <w:sz w:val="28"/>
          <w:szCs w:val="28"/>
        </w:rPr>
        <w:t xml:space="preserve">Written by: </w:t>
      </w:r>
      <w:r w:rsidR="00001DA9" w:rsidRPr="005342AF">
        <w:rPr>
          <w:rFonts w:ascii="Garamond" w:hAnsi="Garamond" w:cs="Arial"/>
          <w:b/>
          <w:bCs/>
          <w:sz w:val="28"/>
          <w:szCs w:val="28"/>
        </w:rPr>
        <w:t xml:space="preserve"> John Smith</w:t>
      </w:r>
    </w:p>
    <w:p w:rsidR="00A052B5" w:rsidRPr="005342AF" w:rsidRDefault="00A052B5" w:rsidP="00FD24A4">
      <w:pPr>
        <w:jc w:val="center"/>
        <w:rPr>
          <w:rFonts w:ascii="Garamond" w:hAnsi="Garamond" w:cs="Arial"/>
          <w:b/>
          <w:bCs/>
          <w:sz w:val="28"/>
          <w:szCs w:val="28"/>
        </w:rPr>
      </w:pPr>
      <w:r w:rsidRPr="005342AF">
        <w:rPr>
          <w:rFonts w:ascii="Garamond" w:hAnsi="Garamond" w:cs="Arial"/>
          <w:b/>
          <w:bCs/>
          <w:sz w:val="28"/>
          <w:szCs w:val="28"/>
        </w:rPr>
        <w:t>G492</w:t>
      </w:r>
    </w:p>
    <w:p w:rsidR="00A052B5" w:rsidRPr="005342AF" w:rsidRDefault="00A052B5" w:rsidP="00FD24A4">
      <w:pPr>
        <w:jc w:val="center"/>
        <w:rPr>
          <w:rFonts w:ascii="Garamond" w:hAnsi="Garamond" w:cs="Arial"/>
          <w:b/>
          <w:bCs/>
          <w:sz w:val="28"/>
          <w:szCs w:val="28"/>
        </w:rPr>
      </w:pPr>
      <w:r w:rsidRPr="005342AF">
        <w:rPr>
          <w:rFonts w:ascii="Garamond" w:hAnsi="Garamond" w:cs="Arial"/>
          <w:b/>
          <w:bCs/>
          <w:sz w:val="28"/>
          <w:szCs w:val="28"/>
        </w:rPr>
        <w:t>March 29, 2009</w:t>
      </w:r>
    </w:p>
    <w:p w:rsidR="00A052B5" w:rsidRPr="005342AF" w:rsidRDefault="00001DA9" w:rsidP="00FD24A4">
      <w:pPr>
        <w:jc w:val="center"/>
        <w:rPr>
          <w:rFonts w:ascii="Garamond" w:hAnsi="Garamond" w:cs="Arial"/>
          <w:b/>
          <w:bCs/>
          <w:sz w:val="28"/>
          <w:szCs w:val="28"/>
        </w:rPr>
      </w:pPr>
      <w:r w:rsidRPr="005342AF">
        <w:rPr>
          <w:rFonts w:ascii="Garamond" w:hAnsi="Garamond" w:cs="Arial"/>
          <w:b/>
          <w:bCs/>
          <w:sz w:val="28"/>
          <w:szCs w:val="28"/>
        </w:rPr>
        <w:t>smith@indiana.edu</w:t>
      </w:r>
    </w:p>
    <w:p w:rsidR="00A052B5" w:rsidRPr="005342AF" w:rsidRDefault="00A052B5" w:rsidP="00F77D05">
      <w:pPr>
        <w:jc w:val="both"/>
        <w:rPr>
          <w:rFonts w:ascii="Garamond" w:hAnsi="Garamond" w:cs="Arial"/>
          <w:b/>
          <w:bCs/>
          <w:sz w:val="28"/>
          <w:szCs w:val="28"/>
          <w:u w:val="single"/>
        </w:rPr>
      </w:pPr>
    </w:p>
    <w:p w:rsidR="00A052B5" w:rsidRPr="005342AF" w:rsidRDefault="00A052B5" w:rsidP="00F77D05">
      <w:pPr>
        <w:jc w:val="both"/>
        <w:rPr>
          <w:rFonts w:ascii="Garamond" w:hAnsi="Garamond" w:cs="Arial"/>
          <w:b/>
          <w:bCs/>
          <w:sz w:val="28"/>
          <w:szCs w:val="28"/>
          <w:u w:val="single"/>
        </w:rPr>
      </w:pPr>
    </w:p>
    <w:p w:rsidR="00A052B5" w:rsidRPr="005342AF" w:rsidRDefault="00A052B5" w:rsidP="00F77D05">
      <w:pPr>
        <w:spacing w:after="0" w:line="360" w:lineRule="auto"/>
        <w:jc w:val="center"/>
        <w:rPr>
          <w:rFonts w:ascii="Garamond" w:hAnsi="Garamond" w:cs="Arial"/>
          <w:sz w:val="28"/>
          <w:szCs w:val="28"/>
        </w:rPr>
      </w:pPr>
      <w:r w:rsidRPr="005342AF">
        <w:rPr>
          <w:rFonts w:ascii="Garamond" w:hAnsi="Garamond" w:cs="Arial"/>
          <w:sz w:val="28"/>
          <w:szCs w:val="28"/>
        </w:rPr>
        <w:t>Abstract:</w:t>
      </w:r>
    </w:p>
    <w:p w:rsidR="00A052B5" w:rsidRPr="005342AF" w:rsidRDefault="00A052B5" w:rsidP="00F77D05">
      <w:pPr>
        <w:spacing w:after="0" w:line="360" w:lineRule="auto"/>
        <w:ind w:firstLine="720"/>
        <w:jc w:val="both"/>
        <w:rPr>
          <w:rFonts w:ascii="Garamond" w:hAnsi="Garamond" w:cs="Arial"/>
          <w:sz w:val="28"/>
          <w:szCs w:val="28"/>
        </w:rPr>
      </w:pPr>
      <w:r w:rsidRPr="005342AF">
        <w:rPr>
          <w:rFonts w:ascii="Garamond" w:hAnsi="Garamond" w:cs="Arial"/>
          <w:sz w:val="28"/>
          <w:szCs w:val="28"/>
        </w:rPr>
        <w:t>This paper will examine the significance of option-based market sentiment indicators upon the derivatives markets as predicative tools. Essentially, this paper will study how technical and sentiment tools of analysis use price charts, put-call ratios, and volatility based indicators to gauge market trend. Further, it will analyze the validity of these tools as predicative measures of investor sentiment through utilizing the data from the CBOE. Finally, the paper will conclude its quantitative analysis by answering the question: “Could stock options have predicted the markets tumble?”, and if yes, “What do stock options have to say about the rest of this fiscal year?”</w:t>
      </w:r>
    </w:p>
    <w:p w:rsidR="00FE34A3" w:rsidRDefault="00FE34A3">
      <w:pPr>
        <w:spacing w:after="0" w:line="240" w:lineRule="auto"/>
        <w:rPr>
          <w:rFonts w:ascii="Garamond" w:hAnsi="Garamond" w:cs="Arial"/>
          <w:b/>
          <w:bCs/>
          <w:sz w:val="28"/>
          <w:szCs w:val="28"/>
          <w:u w:val="single"/>
        </w:rPr>
      </w:pPr>
      <w:r>
        <w:rPr>
          <w:rFonts w:ascii="Garamond" w:hAnsi="Garamond" w:cs="Arial"/>
          <w:b/>
          <w:bCs/>
          <w:sz w:val="28"/>
          <w:szCs w:val="28"/>
          <w:u w:val="single"/>
        </w:rPr>
        <w:br w:type="page"/>
      </w:r>
    </w:p>
    <w:p w:rsidR="00A052B5" w:rsidRPr="005342AF" w:rsidRDefault="00A052B5" w:rsidP="00F77D05">
      <w:pPr>
        <w:jc w:val="both"/>
        <w:rPr>
          <w:rFonts w:ascii="Garamond" w:hAnsi="Garamond" w:cs="Arial"/>
          <w:b/>
          <w:bCs/>
          <w:sz w:val="28"/>
          <w:szCs w:val="28"/>
          <w:u w:val="single"/>
        </w:rPr>
      </w:pPr>
    </w:p>
    <w:p w:rsidR="009312C5" w:rsidRPr="005342AF" w:rsidRDefault="009312C5" w:rsidP="009312C5">
      <w:pPr>
        <w:spacing w:line="480" w:lineRule="auto"/>
        <w:rPr>
          <w:rFonts w:ascii="Garamond" w:hAnsi="Garamond"/>
          <w:b/>
          <w:bCs/>
          <w:sz w:val="28"/>
          <w:szCs w:val="28"/>
        </w:rPr>
      </w:pPr>
      <w:r w:rsidRPr="005342AF">
        <w:rPr>
          <w:rFonts w:ascii="Garamond" w:hAnsi="Garamond"/>
          <w:b/>
          <w:bCs/>
          <w:sz w:val="28"/>
          <w:szCs w:val="28"/>
        </w:rPr>
        <w:t>U.K. Healthcare Industry</w:t>
      </w:r>
    </w:p>
    <w:p w:rsidR="009312C5" w:rsidRPr="005342AF" w:rsidRDefault="009312C5" w:rsidP="009312C5">
      <w:pPr>
        <w:spacing w:line="480" w:lineRule="auto"/>
        <w:ind w:firstLine="720"/>
        <w:rPr>
          <w:rFonts w:ascii="Garamond" w:hAnsi="Garamond"/>
          <w:sz w:val="28"/>
          <w:szCs w:val="28"/>
        </w:rPr>
      </w:pPr>
      <w:r w:rsidRPr="005342AF">
        <w:rPr>
          <w:rFonts w:ascii="Garamond" w:hAnsi="Garamond"/>
          <w:sz w:val="28"/>
          <w:szCs w:val="28"/>
        </w:rPr>
        <w:t xml:space="preserve">The National Health Service, or NHS, is the   United Kingdom’s government run healthcare system.  Established after World War II, the NHS was created with three core principles in mind: to meet everybody’s needs , to be free at the point of delivery, and to be based on clinical need.  The NHS is funded almost exclusively through national taxation,  but receives a small amount of revenue from   user fees for  services such as dental care and prescription drugs. </w:t>
      </w:r>
    </w:p>
    <w:p w:rsidR="009312C5" w:rsidRPr="005342AF" w:rsidRDefault="009312C5" w:rsidP="009312C5">
      <w:pPr>
        <w:spacing w:line="480" w:lineRule="auto"/>
        <w:ind w:firstLine="720"/>
        <w:rPr>
          <w:rFonts w:ascii="Garamond" w:hAnsi="Garamond"/>
          <w:sz w:val="28"/>
          <w:szCs w:val="28"/>
        </w:rPr>
      </w:pPr>
      <w:r w:rsidRPr="005342AF">
        <w:rPr>
          <w:rFonts w:ascii="Garamond" w:hAnsi="Garamond"/>
          <w:sz w:val="28"/>
          <w:szCs w:val="28"/>
        </w:rPr>
        <w:t xml:space="preserve"> The structure of the NHS has changed over the years,  but  it now is based on  a system of trusts to which the  Department of Health allocates funds  based on demographic information.  The   trustscover different sectors of health care.  Primary care trusts control 80% of the NHS budget and are responsible for front-line services such as doctors, dentists, opticians, pharmacists, and walk-in centers.  Acute trusts run hospitals which may provide care for customers in several different primary trust catchment areas,  and smaller trusts such as ambulance and mental health trusts manage things  such as ambulances for 911 calls and specialized long-term mental health care.</w:t>
      </w:r>
    </w:p>
    <w:p w:rsidR="009312C5" w:rsidRPr="005342AF" w:rsidRDefault="009312C5" w:rsidP="009312C5">
      <w:pPr>
        <w:spacing w:line="480" w:lineRule="auto"/>
        <w:ind w:firstLine="720"/>
        <w:rPr>
          <w:rFonts w:ascii="Garamond" w:hAnsi="Garamond"/>
          <w:sz w:val="28"/>
          <w:szCs w:val="28"/>
        </w:rPr>
      </w:pPr>
      <w:r w:rsidRPr="005342AF">
        <w:rPr>
          <w:rFonts w:ascii="Garamond" w:hAnsi="Garamond"/>
          <w:sz w:val="28"/>
          <w:szCs w:val="28"/>
        </w:rPr>
        <w:t xml:space="preserve"> The NHS employed over 1.5 million people in the United Kingdom as of 2008.  Half  of them are medical professionals such as doctors, nurses, and paramedics, while the other half is non-clinical support staff.  These health </w:t>
      </w:r>
      <w:r w:rsidRPr="005342AF">
        <w:rPr>
          <w:rFonts w:ascii="Garamond" w:hAnsi="Garamond"/>
          <w:sz w:val="28"/>
          <w:szCs w:val="28"/>
        </w:rPr>
        <w:lastRenderedPageBreak/>
        <w:t>professionals deal with about 240 million visits each year, at a cost of about  $90 billion, having  grown at  an annual rate of 3% above inflation since 1948.  60% of the NHS budget goes to paying staff, 20% goes to drugs and supplies, and the final 20% to buildings, equipment, and other expenses.  The NHS budget in 2008 represented around $1,500 for each UK resident.</w:t>
      </w:r>
    </w:p>
    <w:p w:rsidR="005342AF" w:rsidRDefault="005342AF">
      <w:pPr>
        <w:spacing w:after="0" w:line="240" w:lineRule="auto"/>
        <w:rPr>
          <w:rFonts w:ascii="Garamond" w:hAnsi="Garamond"/>
          <w:sz w:val="28"/>
          <w:szCs w:val="28"/>
        </w:rPr>
      </w:pPr>
      <w:r>
        <w:rPr>
          <w:rFonts w:ascii="Garamond" w:hAnsi="Garamond"/>
          <w:sz w:val="28"/>
          <w:szCs w:val="28"/>
        </w:rPr>
        <w:br w:type="page"/>
      </w:r>
    </w:p>
    <w:p w:rsidR="00FE34A3" w:rsidRDefault="00FE34A3">
      <w:pPr>
        <w:spacing w:after="0" w:line="240" w:lineRule="auto"/>
        <w:rPr>
          <w:rFonts w:ascii="Garamond" w:hAnsi="Garamond"/>
          <w:sz w:val="28"/>
          <w:szCs w:val="28"/>
        </w:rPr>
      </w:pPr>
    </w:p>
    <w:p w:rsidR="00FE34A3" w:rsidRPr="009B43CF" w:rsidRDefault="00FE34A3" w:rsidP="00FE34A3">
      <w:pPr>
        <w:spacing w:line="480" w:lineRule="auto"/>
        <w:rPr>
          <w:b/>
        </w:rPr>
      </w:pPr>
      <w:r w:rsidRPr="009B43CF">
        <w:rPr>
          <w:b/>
        </w:rPr>
        <w:t>Brief History of Hedge Fund</w:t>
      </w:r>
    </w:p>
    <w:p w:rsidR="00FE34A3" w:rsidRPr="009B43CF" w:rsidRDefault="00FE34A3" w:rsidP="00FE34A3">
      <w:pPr>
        <w:spacing w:line="480" w:lineRule="auto"/>
        <w:ind w:firstLine="720"/>
      </w:pPr>
      <w:r w:rsidRPr="009B43CF">
        <w:t xml:space="preserve">The first hedge fund was formed by Alfred W. Jones in 1949 (McWhinney). Jones used short selling to hedge against market risk, pioneering the now well-known long/short equity strategy. Jones also utilized leverage in his fund to increase returns. The industry stayed relatively small over the next 15 to 20 years until a 1966 </w:t>
      </w:r>
      <w:r w:rsidRPr="009B43CF">
        <w:rPr>
          <w:i/>
        </w:rPr>
        <w:t xml:space="preserve">Fortune </w:t>
      </w:r>
      <w:r w:rsidRPr="009B43CF">
        <w:t xml:space="preserve">article authored by none other than Jones himself highlighted the huge returns of his and other funds (McWhinney). Over the next five years scores of hedge funds sprang up, many employing riskier strategies than Jones’. The bear market of ’73-’74 killed many funds, and the industry was fairly quiet until the late ‘80’s (McWhinney). </w:t>
      </w:r>
    </w:p>
    <w:p w:rsidR="00FE34A3" w:rsidRPr="009B43CF" w:rsidRDefault="00FE34A3" w:rsidP="00FE34A3">
      <w:pPr>
        <w:spacing w:line="480" w:lineRule="auto"/>
        <w:ind w:firstLine="720"/>
      </w:pPr>
      <w:r w:rsidRPr="009B43CF">
        <w:t xml:space="preserve">In 1986 an </w:t>
      </w:r>
      <w:r w:rsidRPr="009B43CF">
        <w:rPr>
          <w:i/>
        </w:rPr>
        <w:t>Institutional Investor</w:t>
      </w:r>
      <w:r w:rsidRPr="009B43CF">
        <w:t xml:space="preserve"> article detailing the tremendous performance of Julian Robertson’s Tiger Fund once again placed hedge funds in the spotlight (McWhinney). Throughout the 1990’s a number of mutual fund managers moved to hedge funds, lured by the higher management fees. In the early 2000’s total assets under management of hedge funds grew dramatically as institutional investors such as pension funds began taking larger positions (Herbst-Bayless). Though central statistics don’t exist, it is believed that the hedge fund industry managed anywhere between two and three trillion dollars in assets by 2008 (McWhinney). Even in the midst of the economic crisis there still exists a high level of interest in hedge fund investment, and the industry, as yet, has faired surprisingly well given the current market conditions.</w:t>
      </w:r>
    </w:p>
    <w:p w:rsidR="00FE34A3" w:rsidRDefault="00FE34A3">
      <w:pPr>
        <w:spacing w:after="0" w:line="240" w:lineRule="auto"/>
        <w:rPr>
          <w:rFonts w:ascii="Garamond" w:hAnsi="Garamond"/>
          <w:sz w:val="28"/>
          <w:szCs w:val="28"/>
        </w:rPr>
      </w:pPr>
    </w:p>
    <w:p w:rsidR="00547DBE" w:rsidRPr="005342AF" w:rsidRDefault="00547DBE" w:rsidP="009312C5">
      <w:pPr>
        <w:spacing w:line="480" w:lineRule="auto"/>
        <w:ind w:firstLine="720"/>
        <w:rPr>
          <w:rFonts w:ascii="Garamond" w:hAnsi="Garamond"/>
          <w:sz w:val="28"/>
          <w:szCs w:val="28"/>
        </w:rPr>
      </w:pPr>
    </w:p>
    <w:p w:rsidR="00547DBE" w:rsidRPr="005342AF" w:rsidRDefault="00547DBE" w:rsidP="009312C5">
      <w:pPr>
        <w:spacing w:line="480" w:lineRule="auto"/>
        <w:ind w:firstLine="720"/>
        <w:rPr>
          <w:rFonts w:ascii="Garamond" w:hAnsi="Garamond"/>
          <w:sz w:val="28"/>
          <w:szCs w:val="28"/>
        </w:rPr>
      </w:pPr>
    </w:p>
    <w:p w:rsidR="00547DBE" w:rsidRPr="005342AF" w:rsidRDefault="00547DBE" w:rsidP="00547DBE">
      <w:pPr>
        <w:spacing w:line="480" w:lineRule="auto"/>
        <w:rPr>
          <w:rFonts w:ascii="Garamond" w:hAnsi="Garamond"/>
          <w:sz w:val="28"/>
          <w:szCs w:val="28"/>
        </w:rPr>
      </w:pPr>
      <w:r w:rsidRPr="005342AF">
        <w:rPr>
          <w:rFonts w:ascii="Garamond" w:hAnsi="Garamond"/>
          <w:sz w:val="28"/>
          <w:szCs w:val="28"/>
        </w:rPr>
        <w:lastRenderedPageBreak/>
        <w:tab/>
        <w:t>My thought would be that college students would do more of their shopping online than adults because Generation Y essentially grew up on the Internet, and they are extremely tech-savvy.  However, my survey results show differently:</w:t>
      </w:r>
    </w:p>
    <w:p w:rsidR="00547DBE" w:rsidRPr="005342AF" w:rsidRDefault="00547DBE" w:rsidP="00547DBE">
      <w:pPr>
        <w:spacing w:line="480" w:lineRule="auto"/>
        <w:rPr>
          <w:rFonts w:ascii="Garamond" w:hAnsi="Garamond"/>
          <w:sz w:val="28"/>
          <w:szCs w:val="28"/>
        </w:rPr>
      </w:pPr>
      <w:r w:rsidRPr="005342AF">
        <w:rPr>
          <w:rFonts w:ascii="Garamond" w:hAnsi="Garamond"/>
          <w:sz w:val="28"/>
          <w:szCs w:val="28"/>
        </w:rPr>
        <w:t xml:space="preserve">“During the past holiday season what percent of your overall gift buying came from the following channels?” </w:t>
      </w:r>
    </w:p>
    <w:p w:rsidR="00A052B5" w:rsidRPr="005342AF" w:rsidRDefault="00547DBE" w:rsidP="00001DA9">
      <w:pPr>
        <w:spacing w:line="360" w:lineRule="auto"/>
        <w:jc w:val="both"/>
        <w:rPr>
          <w:rFonts w:ascii="Garamond" w:hAnsi="Garamond" w:cs="Arial"/>
          <w:sz w:val="28"/>
          <w:szCs w:val="28"/>
        </w:rPr>
      </w:pPr>
      <w:r w:rsidRPr="005342AF">
        <w:rPr>
          <w:rFonts w:ascii="Garamond" w:hAnsi="Garamond"/>
          <w:noProof/>
          <w:sz w:val="28"/>
          <w:szCs w:val="28"/>
        </w:rPr>
        <w:drawing>
          <wp:inline distT="0" distB="0" distL="0" distR="0">
            <wp:extent cx="5486400" cy="2466975"/>
            <wp:effectExtent l="19050" t="0" r="0" b="0"/>
            <wp:docPr id="8" name="REV_9Wt61wkGXIIvXQ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_9Wt61wkGXIIvXQ8.png"/>
                    <pic:cNvPicPr>
                      <a:picLocks noChangeAspect="1" noChangeArrowheads="1"/>
                    </pic:cNvPicPr>
                  </pic:nvPicPr>
                  <pic:blipFill>
                    <a:blip r:embed="rId7"/>
                    <a:srcRect/>
                    <a:stretch>
                      <a:fillRect/>
                    </a:stretch>
                  </pic:blipFill>
                  <pic:spPr bwMode="auto">
                    <a:xfrm>
                      <a:off x="0" y="0"/>
                      <a:ext cx="5486400" cy="2466975"/>
                    </a:xfrm>
                    <a:prstGeom prst="rect">
                      <a:avLst/>
                    </a:prstGeom>
                    <a:noFill/>
                    <a:ln w="9525">
                      <a:noFill/>
                      <a:miter lim="800000"/>
                      <a:headEnd/>
                      <a:tailEnd/>
                    </a:ln>
                  </pic:spPr>
                </pic:pic>
              </a:graphicData>
            </a:graphic>
          </wp:inline>
        </w:drawing>
      </w:r>
    </w:p>
    <w:p w:rsidR="002E0520" w:rsidRPr="005342AF" w:rsidRDefault="002E0520" w:rsidP="00001DA9">
      <w:pPr>
        <w:spacing w:line="360" w:lineRule="auto"/>
        <w:jc w:val="both"/>
        <w:rPr>
          <w:rFonts w:ascii="Garamond" w:hAnsi="Garamond" w:cs="Arial"/>
          <w:sz w:val="28"/>
          <w:szCs w:val="28"/>
        </w:rPr>
      </w:pPr>
    </w:p>
    <w:p w:rsidR="006B1AE2" w:rsidRPr="005342AF" w:rsidRDefault="006B1AE2" w:rsidP="00001DA9">
      <w:pPr>
        <w:spacing w:line="360" w:lineRule="auto"/>
        <w:jc w:val="both"/>
        <w:rPr>
          <w:rFonts w:ascii="Garamond" w:hAnsi="Garamond" w:cs="Arial"/>
          <w:sz w:val="28"/>
          <w:szCs w:val="28"/>
        </w:rPr>
      </w:pPr>
    </w:p>
    <w:p w:rsidR="006B1AE2" w:rsidRPr="005342AF" w:rsidRDefault="006B1AE2" w:rsidP="00001DA9">
      <w:pPr>
        <w:spacing w:line="360" w:lineRule="auto"/>
        <w:jc w:val="both"/>
        <w:rPr>
          <w:rFonts w:ascii="Garamond" w:hAnsi="Garamond" w:cs="Arial"/>
          <w:sz w:val="28"/>
          <w:szCs w:val="28"/>
        </w:rPr>
      </w:pPr>
      <w:r w:rsidRPr="005342AF">
        <w:rPr>
          <w:rFonts w:ascii="Garamond" w:hAnsi="Garamond" w:cs="Times New Roman"/>
          <w:noProof/>
          <w:sz w:val="28"/>
          <w:szCs w:val="28"/>
        </w:rPr>
        <w:lastRenderedPageBreak/>
        <w:drawing>
          <wp:inline distT="0" distB="0" distL="0" distR="0">
            <wp:extent cx="5334000" cy="3171825"/>
            <wp:effectExtent l="19050" t="0" r="0" b="0"/>
            <wp:docPr id="11"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8"/>
                    <a:srcRect/>
                    <a:stretch>
                      <a:fillRect/>
                    </a:stretch>
                  </pic:blipFill>
                  <pic:spPr bwMode="auto">
                    <a:xfrm>
                      <a:off x="0" y="0"/>
                      <a:ext cx="5334000" cy="3171825"/>
                    </a:xfrm>
                    <a:prstGeom prst="rect">
                      <a:avLst/>
                    </a:prstGeom>
                    <a:noFill/>
                    <a:ln w="9525">
                      <a:noFill/>
                      <a:miter lim="800000"/>
                      <a:headEnd/>
                      <a:tailEnd/>
                    </a:ln>
                  </pic:spPr>
                </pic:pic>
              </a:graphicData>
            </a:graphic>
          </wp:inline>
        </w:drawing>
      </w:r>
    </w:p>
    <w:p w:rsidR="005342AF" w:rsidRPr="005342AF" w:rsidRDefault="005342AF" w:rsidP="00001DA9">
      <w:pPr>
        <w:spacing w:line="360" w:lineRule="auto"/>
        <w:jc w:val="both"/>
        <w:rPr>
          <w:rFonts w:ascii="Garamond" w:hAnsi="Garamond" w:cs="Arial"/>
          <w:sz w:val="28"/>
          <w:szCs w:val="28"/>
        </w:rPr>
      </w:pPr>
    </w:p>
    <w:p w:rsidR="005342AF" w:rsidRPr="005342AF" w:rsidRDefault="005342AF" w:rsidP="00001DA9">
      <w:pPr>
        <w:spacing w:line="360" w:lineRule="auto"/>
        <w:jc w:val="both"/>
        <w:rPr>
          <w:rFonts w:ascii="Garamond" w:hAnsi="Garamond" w:cs="Arial"/>
          <w:sz w:val="28"/>
          <w:szCs w:val="28"/>
        </w:rPr>
      </w:pPr>
      <w:r w:rsidRPr="005342AF">
        <w:rPr>
          <w:rFonts w:ascii="Garamond" w:hAnsi="Garamond" w:cs="Arial"/>
          <w:sz w:val="28"/>
          <w:szCs w:val="28"/>
        </w:rPr>
        <w:t xml:space="preserve"> </w:t>
      </w:r>
    </w:p>
    <w:p w:rsidR="005342AF" w:rsidRPr="005342AF" w:rsidRDefault="005342AF" w:rsidP="00001DA9">
      <w:pPr>
        <w:spacing w:line="360" w:lineRule="auto"/>
        <w:jc w:val="both"/>
        <w:rPr>
          <w:rFonts w:ascii="Garamond" w:hAnsi="Garamond" w:cs="Arial"/>
          <w:sz w:val="28"/>
          <w:szCs w:val="28"/>
        </w:rPr>
      </w:pPr>
    </w:p>
    <w:p w:rsidR="005342AF" w:rsidRPr="005342AF" w:rsidRDefault="005342AF" w:rsidP="005342AF">
      <w:pPr>
        <w:spacing w:after="0" w:line="240" w:lineRule="auto"/>
        <w:rPr>
          <w:rFonts w:ascii="Garamond" w:hAnsi="Garamond" w:cs="Arial"/>
          <w:sz w:val="28"/>
          <w:szCs w:val="28"/>
        </w:rPr>
      </w:pPr>
      <w:r w:rsidRPr="005342AF">
        <w:rPr>
          <w:rFonts w:ascii="Garamond" w:hAnsi="Garamond" w:cs="Arial"/>
          <w:sz w:val="28"/>
          <w:szCs w:val="28"/>
        </w:rPr>
        <w:br w:type="page"/>
      </w:r>
    </w:p>
    <w:p w:rsidR="005342AF" w:rsidRPr="005342AF" w:rsidRDefault="005342AF" w:rsidP="005342AF">
      <w:pPr>
        <w:spacing w:after="0" w:line="240" w:lineRule="auto"/>
        <w:rPr>
          <w:rFonts w:ascii="Garamond" w:hAnsi="Garamond" w:cs="Arial"/>
          <w:sz w:val="28"/>
          <w:szCs w:val="28"/>
        </w:rPr>
      </w:pPr>
      <w:r w:rsidRPr="005342AF">
        <w:rPr>
          <w:rFonts w:ascii="Garamond" w:hAnsi="Garamond" w:cs="Arial"/>
          <w:sz w:val="28"/>
          <w:szCs w:val="28"/>
        </w:rPr>
        <w:lastRenderedPageBreak/>
        <w:drawing>
          <wp:anchor distT="0" distB="0" distL="114300" distR="114300" simplePos="0" relativeHeight="251659264" behindDoc="0" locked="0" layoutInCell="1" allowOverlap="1">
            <wp:simplePos x="0" y="0"/>
            <wp:positionH relativeFrom="column">
              <wp:posOffset>561975</wp:posOffset>
            </wp:positionH>
            <wp:positionV relativeFrom="paragraph">
              <wp:posOffset>6353810</wp:posOffset>
            </wp:positionV>
            <wp:extent cx="3316605" cy="2400300"/>
            <wp:effectExtent l="19050" t="0" r="17145" b="0"/>
            <wp:wrapSquare wrapText="bothSides"/>
            <wp:docPr id="13" name="Pictur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342AF" w:rsidRPr="005342AF" w:rsidRDefault="005342AF" w:rsidP="005342AF">
      <w:pPr>
        <w:widowControl w:val="0"/>
        <w:autoSpaceDE w:val="0"/>
        <w:autoSpaceDN w:val="0"/>
        <w:adjustRightInd w:val="0"/>
        <w:spacing w:after="0" w:line="480" w:lineRule="auto"/>
        <w:rPr>
          <w:rFonts w:ascii="Garamond" w:hAnsi="Garamond"/>
          <w:sz w:val="28"/>
          <w:szCs w:val="28"/>
        </w:rPr>
      </w:pPr>
      <w:r w:rsidRPr="005342AF">
        <w:rPr>
          <w:rFonts w:ascii="Garamond" w:hAnsi="Garamond"/>
          <w:sz w:val="28"/>
          <w:szCs w:val="28"/>
        </w:rPr>
        <w:t>Australia spends far less on health care than the U.S. in both absolute and per capita terms. National spending per capita in Australia is $3,128 compared to $6,697 in the United States (C).  In recent years, U.S. spending on health care has exceeded double the average of all other OECD countries (Y). This is the result of increases in spending exceeding the rest of the economy since the 1960s (B).  In 1970, medical expenses accounted for less than one-tenth of personal consumption in the U.S. making it the fifth largest component. In 2001, medical expenses were the largest section of personal consumption accounting for 18.2% of the total (A).  Regardless of attempts made by the government to control the increase of health expenses, they have risen much quicker than inflation over the last few decades (B). Australia has maintained control of its health care expenses and projects increases only in absolute terms over the next few years (M), meaning it will remain around 9% of GDP while the U.S. has already reached 16% of GDP.</w:t>
      </w:r>
    </w:p>
    <w:p w:rsidR="005342AF" w:rsidRPr="005342AF" w:rsidRDefault="005342AF" w:rsidP="005342AF">
      <w:pPr>
        <w:widowControl w:val="0"/>
        <w:autoSpaceDE w:val="0"/>
        <w:autoSpaceDN w:val="0"/>
        <w:adjustRightInd w:val="0"/>
        <w:spacing w:after="0" w:line="480" w:lineRule="auto"/>
        <w:rPr>
          <w:rFonts w:ascii="Garamond" w:hAnsi="Garamond"/>
          <w:sz w:val="28"/>
          <w:szCs w:val="28"/>
        </w:rPr>
      </w:pPr>
    </w:p>
    <w:p w:rsidR="005342AF" w:rsidRPr="005342AF" w:rsidRDefault="005342AF" w:rsidP="005342AF">
      <w:pPr>
        <w:widowControl w:val="0"/>
        <w:autoSpaceDE w:val="0"/>
        <w:autoSpaceDN w:val="0"/>
        <w:adjustRightInd w:val="0"/>
        <w:spacing w:after="0" w:line="480" w:lineRule="auto"/>
        <w:rPr>
          <w:rFonts w:ascii="Garamond" w:hAnsi="Garamond"/>
          <w:sz w:val="28"/>
          <w:szCs w:val="28"/>
        </w:rPr>
      </w:pPr>
    </w:p>
    <w:p w:rsidR="005342AF" w:rsidRPr="005342AF" w:rsidRDefault="005342AF" w:rsidP="00001DA9">
      <w:pPr>
        <w:spacing w:line="360" w:lineRule="auto"/>
        <w:jc w:val="both"/>
        <w:rPr>
          <w:rFonts w:ascii="Garamond" w:hAnsi="Garamond" w:cs="Arial"/>
          <w:noProof/>
          <w:sz w:val="28"/>
          <w:szCs w:val="28"/>
        </w:rPr>
      </w:pPr>
    </w:p>
    <w:p w:rsidR="005342AF" w:rsidRPr="005342AF" w:rsidRDefault="005342AF" w:rsidP="00001DA9">
      <w:pPr>
        <w:spacing w:line="360" w:lineRule="auto"/>
        <w:jc w:val="both"/>
        <w:rPr>
          <w:rFonts w:ascii="Garamond" w:hAnsi="Garamond" w:cs="Arial"/>
          <w:noProof/>
          <w:sz w:val="28"/>
          <w:szCs w:val="28"/>
        </w:rPr>
      </w:pPr>
    </w:p>
    <w:p w:rsidR="005342AF" w:rsidRPr="005342AF" w:rsidRDefault="005342AF" w:rsidP="00001DA9">
      <w:pPr>
        <w:spacing w:line="360" w:lineRule="auto"/>
        <w:jc w:val="both"/>
        <w:rPr>
          <w:rFonts w:ascii="Garamond" w:hAnsi="Garamond" w:cs="Arial"/>
          <w:noProof/>
          <w:sz w:val="28"/>
          <w:szCs w:val="28"/>
        </w:rPr>
      </w:pPr>
    </w:p>
    <w:p w:rsidR="002E0520" w:rsidRPr="005342AF" w:rsidRDefault="002E0520" w:rsidP="00001DA9">
      <w:pPr>
        <w:spacing w:line="360" w:lineRule="auto"/>
        <w:jc w:val="both"/>
        <w:rPr>
          <w:rFonts w:ascii="Garamond" w:hAnsi="Garamond" w:cs="Arial"/>
          <w:sz w:val="28"/>
          <w:szCs w:val="28"/>
        </w:rPr>
      </w:pPr>
    </w:p>
    <w:p w:rsidR="002E0520" w:rsidRPr="005342AF" w:rsidRDefault="002E0520" w:rsidP="002E0520">
      <w:pPr>
        <w:spacing w:line="240" w:lineRule="auto"/>
        <w:ind w:left="720" w:hanging="720"/>
        <w:jc w:val="center"/>
        <w:rPr>
          <w:rFonts w:ascii="Garamond" w:hAnsi="Garamond"/>
          <w:b/>
          <w:bCs/>
          <w:sz w:val="28"/>
          <w:szCs w:val="28"/>
        </w:rPr>
      </w:pPr>
      <w:r w:rsidRPr="005342AF">
        <w:rPr>
          <w:rFonts w:ascii="Garamond" w:hAnsi="Garamond" w:cs="Times New Roman"/>
          <w:sz w:val="28"/>
          <w:szCs w:val="28"/>
        </w:rPr>
        <w:lastRenderedPageBreak/>
        <w:t xml:space="preserve">     </w:t>
      </w:r>
      <w:r w:rsidRPr="005342AF">
        <w:rPr>
          <w:rFonts w:ascii="Garamond" w:hAnsi="Garamond"/>
          <w:b/>
          <w:bCs/>
          <w:sz w:val="28"/>
          <w:szCs w:val="28"/>
        </w:rPr>
        <w:t>References Cited</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Basham, Patrick and Karen White. "Gambling with Our Future." 01 Feb 2002 3-150.                     01 MAR 2009</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Eadington, William. "Contributions of Casino Gambling Style Gambling to Local Economies." 28 Mar 2009 &lt;http://www.rochesterdowntown.org/news/rddc_casino/GENERALINFO/gen15.pdf.&gt;.</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 xml:space="preserve">Eadington, William. "The Legalization of Casinos: Policy Objectives, Regulatory Alternatives, and Cost Benefit Considerations." </w:t>
      </w:r>
      <w:r w:rsidRPr="005342AF">
        <w:rPr>
          <w:rFonts w:ascii="Garamond" w:hAnsi="Garamond"/>
          <w:sz w:val="28"/>
          <w:szCs w:val="28"/>
          <w:u w:val="single"/>
        </w:rPr>
        <w:t>Journal of Travel Research</w:t>
      </w:r>
      <w:r w:rsidRPr="005342AF">
        <w:rPr>
          <w:rFonts w:ascii="Garamond" w:hAnsi="Garamond"/>
          <w:sz w:val="28"/>
          <w:szCs w:val="28"/>
        </w:rPr>
        <w:t xml:space="preserve"> 34; 3(1996): 3-8.</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 xml:space="preserve">Earl, Grinois. "Casino Gambling Causes Crime." </w:t>
      </w:r>
      <w:r w:rsidRPr="005342AF">
        <w:rPr>
          <w:rFonts w:ascii="Garamond" w:hAnsi="Garamond"/>
          <w:sz w:val="28"/>
          <w:szCs w:val="28"/>
          <w:u w:val="single"/>
        </w:rPr>
        <w:t>Policy Forum</w:t>
      </w:r>
      <w:r w:rsidRPr="005342AF">
        <w:rPr>
          <w:rFonts w:ascii="Garamond" w:hAnsi="Garamond"/>
          <w:sz w:val="28"/>
          <w:szCs w:val="28"/>
        </w:rPr>
        <w:t>. 02 NOV 2000. University of Illinois. 16 Feb 2009 &lt;http://www.thefactsaboutindiangaming.com/FILES/03_Facts/_2000-UofIllinois-casinocausescrimes.pdf&gt;.</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Henriksson, Lennart and Richard Lipsey. "Should Provinces Expand Gambling." 01 JAN 1999 259-271. 03 Mar 2009 .</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Hurst, Blake, Valerie Lorenz, Legalized Gambling. San Diego, CA: Greenhaven Press, Inc, 1999.</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 xml:space="preserve">Kearny, Melissa. "The economic winners and losers of legalized gambling." </w:t>
      </w:r>
      <w:r w:rsidRPr="005342AF">
        <w:rPr>
          <w:rFonts w:ascii="Garamond" w:hAnsi="Garamond"/>
          <w:sz w:val="28"/>
          <w:szCs w:val="28"/>
          <w:u w:val="single"/>
        </w:rPr>
        <w:t>Entrepreneur.com</w:t>
      </w:r>
      <w:r w:rsidRPr="005342AF">
        <w:rPr>
          <w:rFonts w:ascii="Garamond" w:hAnsi="Garamond"/>
          <w:sz w:val="28"/>
          <w:szCs w:val="28"/>
        </w:rPr>
        <w:t>. 01 Jun 2005. 21 FEB 2009 &lt;http://www.entrepreneur.com/tradejournals/article/print/134172156.html&gt;.</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2E0520">
      <w:pPr>
        <w:spacing w:line="240" w:lineRule="auto"/>
        <w:ind w:left="720" w:hanging="720"/>
        <w:rPr>
          <w:rFonts w:ascii="Garamond" w:hAnsi="Garamond"/>
          <w:sz w:val="28"/>
          <w:szCs w:val="28"/>
        </w:rPr>
      </w:pPr>
      <w:r w:rsidRPr="005342AF">
        <w:rPr>
          <w:rFonts w:ascii="Garamond" w:hAnsi="Garamond"/>
          <w:sz w:val="28"/>
          <w:szCs w:val="28"/>
        </w:rPr>
        <w:t>Marshall, Katherine. "Update on Gambling." 28 Mar 2009 &lt;http://www.statcanada.com/english/studies/75-001/archive/2000/pear2000012001s1a03.pdf.&gt;.</w:t>
      </w:r>
    </w:p>
    <w:p w:rsidR="002E0520" w:rsidRPr="005342AF" w:rsidRDefault="002E0520" w:rsidP="002E0520">
      <w:pPr>
        <w:spacing w:line="240" w:lineRule="auto"/>
        <w:ind w:left="720" w:hanging="720"/>
        <w:rPr>
          <w:rFonts w:ascii="Garamond" w:hAnsi="Garamond"/>
          <w:sz w:val="28"/>
          <w:szCs w:val="28"/>
        </w:rPr>
      </w:pPr>
    </w:p>
    <w:p w:rsidR="002E0520" w:rsidRPr="005342AF" w:rsidRDefault="002E0520" w:rsidP="00001DA9">
      <w:pPr>
        <w:spacing w:line="360" w:lineRule="auto"/>
        <w:jc w:val="both"/>
        <w:rPr>
          <w:rFonts w:ascii="Garamond" w:hAnsi="Garamond" w:cs="Arial"/>
          <w:sz w:val="28"/>
          <w:szCs w:val="28"/>
        </w:rPr>
      </w:pPr>
    </w:p>
    <w:sectPr w:rsidR="002E0520" w:rsidRPr="005342AF" w:rsidSect="00C971B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F96" w:rsidRDefault="000C6F96" w:rsidP="00F77D05">
      <w:pPr>
        <w:spacing w:after="0" w:line="240" w:lineRule="auto"/>
      </w:pPr>
      <w:r>
        <w:separator/>
      </w:r>
    </w:p>
  </w:endnote>
  <w:endnote w:type="continuationSeparator" w:id="1">
    <w:p w:rsidR="000C6F96" w:rsidRDefault="000C6F96" w:rsidP="00F77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2B5" w:rsidRDefault="009563EC">
    <w:pPr>
      <w:pStyle w:val="Footer"/>
      <w:jc w:val="right"/>
    </w:pPr>
    <w:fldSimple w:instr=" PAGE   \* MERGEFORMAT ">
      <w:r w:rsidR="00FE34A3">
        <w:rPr>
          <w:noProof/>
        </w:rPr>
        <w:t>5</w:t>
      </w:r>
    </w:fldSimple>
  </w:p>
  <w:p w:rsidR="00A052B5" w:rsidRDefault="00A052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F96" w:rsidRDefault="000C6F96" w:rsidP="00F77D05">
      <w:pPr>
        <w:spacing w:after="0" w:line="240" w:lineRule="auto"/>
      </w:pPr>
      <w:r>
        <w:separator/>
      </w:r>
    </w:p>
  </w:footnote>
  <w:footnote w:type="continuationSeparator" w:id="1">
    <w:p w:rsidR="000C6F96" w:rsidRDefault="000C6F96" w:rsidP="00F77D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555"/>
    <w:multiLevelType w:val="hybridMultilevel"/>
    <w:tmpl w:val="7756B142"/>
    <w:lvl w:ilvl="0" w:tplc="B77C82E2">
      <w:start w:val="1"/>
      <w:numFmt w:val="bullet"/>
      <w:lvlText w:val=""/>
      <w:lvlJc w:val="left"/>
      <w:pPr>
        <w:tabs>
          <w:tab w:val="num" w:pos="720"/>
        </w:tabs>
        <w:ind w:left="720" w:hanging="360"/>
      </w:pPr>
      <w:rPr>
        <w:rFonts w:ascii="Symbol" w:hAnsi="Symbol" w:cs="Symbol" w:hint="default"/>
      </w:rPr>
    </w:lvl>
    <w:lvl w:ilvl="1" w:tplc="A88EBAD4">
      <w:start w:val="1"/>
      <w:numFmt w:val="bullet"/>
      <w:lvlText w:val=""/>
      <w:lvlJc w:val="left"/>
      <w:pPr>
        <w:tabs>
          <w:tab w:val="num" w:pos="1440"/>
        </w:tabs>
        <w:ind w:left="1440" w:hanging="360"/>
      </w:pPr>
      <w:rPr>
        <w:rFonts w:ascii="Symbol" w:hAnsi="Symbol" w:cs="Symbol" w:hint="default"/>
      </w:rPr>
    </w:lvl>
    <w:lvl w:ilvl="2" w:tplc="D2A82638">
      <w:start w:val="1"/>
      <w:numFmt w:val="bullet"/>
      <w:lvlText w:val=""/>
      <w:lvlJc w:val="left"/>
      <w:pPr>
        <w:tabs>
          <w:tab w:val="num" w:pos="2160"/>
        </w:tabs>
        <w:ind w:left="2160" w:hanging="360"/>
      </w:pPr>
      <w:rPr>
        <w:rFonts w:ascii="Symbol" w:hAnsi="Symbol" w:cs="Symbol" w:hint="default"/>
      </w:rPr>
    </w:lvl>
    <w:lvl w:ilvl="3" w:tplc="763AF34E">
      <w:start w:val="1"/>
      <w:numFmt w:val="bullet"/>
      <w:lvlText w:val=""/>
      <w:lvlJc w:val="left"/>
      <w:pPr>
        <w:tabs>
          <w:tab w:val="num" w:pos="2880"/>
        </w:tabs>
        <w:ind w:left="2880" w:hanging="360"/>
      </w:pPr>
      <w:rPr>
        <w:rFonts w:ascii="Symbol" w:hAnsi="Symbol" w:cs="Symbol" w:hint="default"/>
      </w:rPr>
    </w:lvl>
    <w:lvl w:ilvl="4" w:tplc="7D8CEB26">
      <w:start w:val="1"/>
      <w:numFmt w:val="bullet"/>
      <w:lvlText w:val=""/>
      <w:lvlJc w:val="left"/>
      <w:pPr>
        <w:tabs>
          <w:tab w:val="num" w:pos="3600"/>
        </w:tabs>
        <w:ind w:left="3600" w:hanging="360"/>
      </w:pPr>
      <w:rPr>
        <w:rFonts w:ascii="Symbol" w:hAnsi="Symbol" w:cs="Symbol" w:hint="default"/>
      </w:rPr>
    </w:lvl>
    <w:lvl w:ilvl="5" w:tplc="AB0EACD4">
      <w:start w:val="1"/>
      <w:numFmt w:val="bullet"/>
      <w:lvlText w:val=""/>
      <w:lvlJc w:val="left"/>
      <w:pPr>
        <w:tabs>
          <w:tab w:val="num" w:pos="4320"/>
        </w:tabs>
        <w:ind w:left="4320" w:hanging="360"/>
      </w:pPr>
      <w:rPr>
        <w:rFonts w:ascii="Symbol" w:hAnsi="Symbol" w:cs="Symbol" w:hint="default"/>
      </w:rPr>
    </w:lvl>
    <w:lvl w:ilvl="6" w:tplc="DA7A3E22">
      <w:start w:val="1"/>
      <w:numFmt w:val="bullet"/>
      <w:lvlText w:val=""/>
      <w:lvlJc w:val="left"/>
      <w:pPr>
        <w:tabs>
          <w:tab w:val="num" w:pos="5040"/>
        </w:tabs>
        <w:ind w:left="5040" w:hanging="360"/>
      </w:pPr>
      <w:rPr>
        <w:rFonts w:ascii="Symbol" w:hAnsi="Symbol" w:cs="Symbol" w:hint="default"/>
      </w:rPr>
    </w:lvl>
    <w:lvl w:ilvl="7" w:tplc="EEA6FB3C">
      <w:start w:val="1"/>
      <w:numFmt w:val="bullet"/>
      <w:lvlText w:val=""/>
      <w:lvlJc w:val="left"/>
      <w:pPr>
        <w:tabs>
          <w:tab w:val="num" w:pos="5760"/>
        </w:tabs>
        <w:ind w:left="5760" w:hanging="360"/>
      </w:pPr>
      <w:rPr>
        <w:rFonts w:ascii="Symbol" w:hAnsi="Symbol" w:cs="Symbol" w:hint="default"/>
      </w:rPr>
    </w:lvl>
    <w:lvl w:ilvl="8" w:tplc="DE340676">
      <w:start w:val="1"/>
      <w:numFmt w:val="bullet"/>
      <w:lvlText w:val=""/>
      <w:lvlJc w:val="left"/>
      <w:pPr>
        <w:tabs>
          <w:tab w:val="num" w:pos="6480"/>
        </w:tabs>
        <w:ind w:left="6480" w:hanging="360"/>
      </w:pPr>
      <w:rPr>
        <w:rFonts w:ascii="Symbol" w:hAnsi="Symbol" w:cs="Symbol" w:hint="default"/>
      </w:rPr>
    </w:lvl>
  </w:abstractNum>
  <w:abstractNum w:abstractNumId="1">
    <w:nsid w:val="1B095F64"/>
    <w:multiLevelType w:val="hybridMultilevel"/>
    <w:tmpl w:val="88A472C4"/>
    <w:lvl w:ilvl="0" w:tplc="69B493F6">
      <w:start w:val="1"/>
      <w:numFmt w:val="bullet"/>
      <w:lvlText w:val=""/>
      <w:lvlJc w:val="left"/>
      <w:pPr>
        <w:tabs>
          <w:tab w:val="num" w:pos="720"/>
        </w:tabs>
        <w:ind w:left="720" w:hanging="360"/>
      </w:pPr>
      <w:rPr>
        <w:rFonts w:ascii="Symbol" w:hAnsi="Symbol" w:cs="Symbol" w:hint="default"/>
      </w:rPr>
    </w:lvl>
    <w:lvl w:ilvl="1" w:tplc="BC0C8A0A">
      <w:start w:val="1"/>
      <w:numFmt w:val="bullet"/>
      <w:lvlText w:val=""/>
      <w:lvlJc w:val="left"/>
      <w:pPr>
        <w:tabs>
          <w:tab w:val="num" w:pos="1440"/>
        </w:tabs>
        <w:ind w:left="1440" w:hanging="360"/>
      </w:pPr>
      <w:rPr>
        <w:rFonts w:ascii="Symbol" w:hAnsi="Symbol" w:cs="Symbol" w:hint="default"/>
      </w:rPr>
    </w:lvl>
    <w:lvl w:ilvl="2" w:tplc="25D25C12">
      <w:start w:val="1"/>
      <w:numFmt w:val="bullet"/>
      <w:lvlText w:val=""/>
      <w:lvlJc w:val="left"/>
      <w:pPr>
        <w:tabs>
          <w:tab w:val="num" w:pos="2160"/>
        </w:tabs>
        <w:ind w:left="2160" w:hanging="360"/>
      </w:pPr>
      <w:rPr>
        <w:rFonts w:ascii="Symbol" w:hAnsi="Symbol" w:cs="Symbol" w:hint="default"/>
      </w:rPr>
    </w:lvl>
    <w:lvl w:ilvl="3" w:tplc="75362ABC">
      <w:start w:val="1"/>
      <w:numFmt w:val="bullet"/>
      <w:lvlText w:val=""/>
      <w:lvlJc w:val="left"/>
      <w:pPr>
        <w:tabs>
          <w:tab w:val="num" w:pos="2880"/>
        </w:tabs>
        <w:ind w:left="2880" w:hanging="360"/>
      </w:pPr>
      <w:rPr>
        <w:rFonts w:ascii="Symbol" w:hAnsi="Symbol" w:cs="Symbol" w:hint="default"/>
      </w:rPr>
    </w:lvl>
    <w:lvl w:ilvl="4" w:tplc="FA30C27A">
      <w:start w:val="1"/>
      <w:numFmt w:val="bullet"/>
      <w:lvlText w:val=""/>
      <w:lvlJc w:val="left"/>
      <w:pPr>
        <w:tabs>
          <w:tab w:val="num" w:pos="3600"/>
        </w:tabs>
        <w:ind w:left="3600" w:hanging="360"/>
      </w:pPr>
      <w:rPr>
        <w:rFonts w:ascii="Symbol" w:hAnsi="Symbol" w:cs="Symbol" w:hint="default"/>
      </w:rPr>
    </w:lvl>
    <w:lvl w:ilvl="5" w:tplc="621E7E2A">
      <w:start w:val="1"/>
      <w:numFmt w:val="bullet"/>
      <w:lvlText w:val=""/>
      <w:lvlJc w:val="left"/>
      <w:pPr>
        <w:tabs>
          <w:tab w:val="num" w:pos="4320"/>
        </w:tabs>
        <w:ind w:left="4320" w:hanging="360"/>
      </w:pPr>
      <w:rPr>
        <w:rFonts w:ascii="Symbol" w:hAnsi="Symbol" w:cs="Symbol" w:hint="default"/>
      </w:rPr>
    </w:lvl>
    <w:lvl w:ilvl="6" w:tplc="98C41F9C">
      <w:start w:val="1"/>
      <w:numFmt w:val="bullet"/>
      <w:lvlText w:val=""/>
      <w:lvlJc w:val="left"/>
      <w:pPr>
        <w:tabs>
          <w:tab w:val="num" w:pos="5040"/>
        </w:tabs>
        <w:ind w:left="5040" w:hanging="360"/>
      </w:pPr>
      <w:rPr>
        <w:rFonts w:ascii="Symbol" w:hAnsi="Symbol" w:cs="Symbol" w:hint="default"/>
      </w:rPr>
    </w:lvl>
    <w:lvl w:ilvl="7" w:tplc="E48462B2">
      <w:start w:val="1"/>
      <w:numFmt w:val="bullet"/>
      <w:lvlText w:val=""/>
      <w:lvlJc w:val="left"/>
      <w:pPr>
        <w:tabs>
          <w:tab w:val="num" w:pos="5760"/>
        </w:tabs>
        <w:ind w:left="5760" w:hanging="360"/>
      </w:pPr>
      <w:rPr>
        <w:rFonts w:ascii="Symbol" w:hAnsi="Symbol" w:cs="Symbol" w:hint="default"/>
      </w:rPr>
    </w:lvl>
    <w:lvl w:ilvl="8" w:tplc="D256C22C">
      <w:start w:val="1"/>
      <w:numFmt w:val="bullet"/>
      <w:lvlText w:val=""/>
      <w:lvlJc w:val="left"/>
      <w:pPr>
        <w:tabs>
          <w:tab w:val="num" w:pos="6480"/>
        </w:tabs>
        <w:ind w:left="6480" w:hanging="360"/>
      </w:pPr>
      <w:rPr>
        <w:rFonts w:ascii="Symbol" w:hAnsi="Symbol" w:cs="Symbol" w:hint="default"/>
      </w:rPr>
    </w:lvl>
  </w:abstractNum>
  <w:abstractNum w:abstractNumId="2">
    <w:nsid w:val="3029618B"/>
    <w:multiLevelType w:val="hybridMultilevel"/>
    <w:tmpl w:val="AE9ADE26"/>
    <w:lvl w:ilvl="0" w:tplc="08D2BB88">
      <w:start w:val="1"/>
      <w:numFmt w:val="bullet"/>
      <w:lvlText w:val=""/>
      <w:lvlJc w:val="left"/>
      <w:pPr>
        <w:tabs>
          <w:tab w:val="num" w:pos="720"/>
        </w:tabs>
        <w:ind w:left="720" w:hanging="360"/>
      </w:pPr>
      <w:rPr>
        <w:rFonts w:ascii="Symbol" w:hAnsi="Symbol" w:cs="Symbol" w:hint="default"/>
      </w:rPr>
    </w:lvl>
    <w:lvl w:ilvl="1" w:tplc="FECA367E">
      <w:start w:val="1"/>
      <w:numFmt w:val="bullet"/>
      <w:lvlText w:val=""/>
      <w:lvlJc w:val="left"/>
      <w:pPr>
        <w:tabs>
          <w:tab w:val="num" w:pos="1440"/>
        </w:tabs>
        <w:ind w:left="1440" w:hanging="360"/>
      </w:pPr>
      <w:rPr>
        <w:rFonts w:ascii="Symbol" w:hAnsi="Symbol" w:cs="Symbol" w:hint="default"/>
      </w:rPr>
    </w:lvl>
    <w:lvl w:ilvl="2" w:tplc="108ABB44">
      <w:start w:val="1"/>
      <w:numFmt w:val="bullet"/>
      <w:lvlText w:val=""/>
      <w:lvlJc w:val="left"/>
      <w:pPr>
        <w:tabs>
          <w:tab w:val="num" w:pos="2160"/>
        </w:tabs>
        <w:ind w:left="2160" w:hanging="360"/>
      </w:pPr>
      <w:rPr>
        <w:rFonts w:ascii="Symbol" w:hAnsi="Symbol" w:cs="Symbol" w:hint="default"/>
      </w:rPr>
    </w:lvl>
    <w:lvl w:ilvl="3" w:tplc="CB18FD52">
      <w:start w:val="1"/>
      <w:numFmt w:val="bullet"/>
      <w:lvlText w:val=""/>
      <w:lvlJc w:val="left"/>
      <w:pPr>
        <w:tabs>
          <w:tab w:val="num" w:pos="2880"/>
        </w:tabs>
        <w:ind w:left="2880" w:hanging="360"/>
      </w:pPr>
      <w:rPr>
        <w:rFonts w:ascii="Symbol" w:hAnsi="Symbol" w:cs="Symbol" w:hint="default"/>
      </w:rPr>
    </w:lvl>
    <w:lvl w:ilvl="4" w:tplc="EE20048A">
      <w:start w:val="1"/>
      <w:numFmt w:val="bullet"/>
      <w:lvlText w:val=""/>
      <w:lvlJc w:val="left"/>
      <w:pPr>
        <w:tabs>
          <w:tab w:val="num" w:pos="3600"/>
        </w:tabs>
        <w:ind w:left="3600" w:hanging="360"/>
      </w:pPr>
      <w:rPr>
        <w:rFonts w:ascii="Symbol" w:hAnsi="Symbol" w:cs="Symbol" w:hint="default"/>
      </w:rPr>
    </w:lvl>
    <w:lvl w:ilvl="5" w:tplc="5DB663EE">
      <w:start w:val="1"/>
      <w:numFmt w:val="bullet"/>
      <w:lvlText w:val=""/>
      <w:lvlJc w:val="left"/>
      <w:pPr>
        <w:tabs>
          <w:tab w:val="num" w:pos="4320"/>
        </w:tabs>
        <w:ind w:left="4320" w:hanging="360"/>
      </w:pPr>
      <w:rPr>
        <w:rFonts w:ascii="Symbol" w:hAnsi="Symbol" w:cs="Symbol" w:hint="default"/>
      </w:rPr>
    </w:lvl>
    <w:lvl w:ilvl="6" w:tplc="110A278E">
      <w:start w:val="1"/>
      <w:numFmt w:val="bullet"/>
      <w:lvlText w:val=""/>
      <w:lvlJc w:val="left"/>
      <w:pPr>
        <w:tabs>
          <w:tab w:val="num" w:pos="5040"/>
        </w:tabs>
        <w:ind w:left="5040" w:hanging="360"/>
      </w:pPr>
      <w:rPr>
        <w:rFonts w:ascii="Symbol" w:hAnsi="Symbol" w:cs="Symbol" w:hint="default"/>
      </w:rPr>
    </w:lvl>
    <w:lvl w:ilvl="7" w:tplc="F8A0D026">
      <w:start w:val="1"/>
      <w:numFmt w:val="bullet"/>
      <w:lvlText w:val=""/>
      <w:lvlJc w:val="left"/>
      <w:pPr>
        <w:tabs>
          <w:tab w:val="num" w:pos="5760"/>
        </w:tabs>
        <w:ind w:left="5760" w:hanging="360"/>
      </w:pPr>
      <w:rPr>
        <w:rFonts w:ascii="Symbol" w:hAnsi="Symbol" w:cs="Symbol" w:hint="default"/>
      </w:rPr>
    </w:lvl>
    <w:lvl w:ilvl="8" w:tplc="C82824D8">
      <w:start w:val="1"/>
      <w:numFmt w:val="bullet"/>
      <w:lvlText w:val=""/>
      <w:lvlJc w:val="left"/>
      <w:pPr>
        <w:tabs>
          <w:tab w:val="num" w:pos="6480"/>
        </w:tabs>
        <w:ind w:left="6480" w:hanging="360"/>
      </w:pPr>
      <w:rPr>
        <w:rFonts w:ascii="Symbol" w:hAnsi="Symbol" w:cs="Symbol" w:hint="default"/>
      </w:rPr>
    </w:lvl>
  </w:abstractNum>
  <w:abstractNum w:abstractNumId="3">
    <w:nsid w:val="5705267A"/>
    <w:multiLevelType w:val="hybridMultilevel"/>
    <w:tmpl w:val="8294DF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7AF1217"/>
    <w:multiLevelType w:val="hybridMultilevel"/>
    <w:tmpl w:val="4DFE9234"/>
    <w:lvl w:ilvl="0" w:tplc="5BB6E4F2">
      <w:start w:val="1"/>
      <w:numFmt w:val="bullet"/>
      <w:lvlText w:val=""/>
      <w:lvlJc w:val="left"/>
      <w:pPr>
        <w:tabs>
          <w:tab w:val="num" w:pos="720"/>
        </w:tabs>
        <w:ind w:left="720" w:hanging="360"/>
      </w:pPr>
      <w:rPr>
        <w:rFonts w:ascii="Symbol" w:hAnsi="Symbol" w:cs="Symbol" w:hint="default"/>
      </w:rPr>
    </w:lvl>
    <w:lvl w:ilvl="1" w:tplc="A33A58D6">
      <w:start w:val="1"/>
      <w:numFmt w:val="bullet"/>
      <w:lvlText w:val=""/>
      <w:lvlJc w:val="left"/>
      <w:pPr>
        <w:tabs>
          <w:tab w:val="num" w:pos="1440"/>
        </w:tabs>
        <w:ind w:left="1440" w:hanging="360"/>
      </w:pPr>
      <w:rPr>
        <w:rFonts w:ascii="Symbol" w:hAnsi="Symbol" w:cs="Symbol" w:hint="default"/>
      </w:rPr>
    </w:lvl>
    <w:lvl w:ilvl="2" w:tplc="9530D0F6">
      <w:start w:val="1"/>
      <w:numFmt w:val="bullet"/>
      <w:lvlText w:val=""/>
      <w:lvlJc w:val="left"/>
      <w:pPr>
        <w:tabs>
          <w:tab w:val="num" w:pos="2160"/>
        </w:tabs>
        <w:ind w:left="2160" w:hanging="360"/>
      </w:pPr>
      <w:rPr>
        <w:rFonts w:ascii="Symbol" w:hAnsi="Symbol" w:cs="Symbol" w:hint="default"/>
      </w:rPr>
    </w:lvl>
    <w:lvl w:ilvl="3" w:tplc="1D20A960">
      <w:start w:val="1"/>
      <w:numFmt w:val="bullet"/>
      <w:lvlText w:val=""/>
      <w:lvlJc w:val="left"/>
      <w:pPr>
        <w:tabs>
          <w:tab w:val="num" w:pos="2880"/>
        </w:tabs>
        <w:ind w:left="2880" w:hanging="360"/>
      </w:pPr>
      <w:rPr>
        <w:rFonts w:ascii="Symbol" w:hAnsi="Symbol" w:cs="Symbol" w:hint="default"/>
      </w:rPr>
    </w:lvl>
    <w:lvl w:ilvl="4" w:tplc="3F2249CE">
      <w:start w:val="1"/>
      <w:numFmt w:val="bullet"/>
      <w:lvlText w:val=""/>
      <w:lvlJc w:val="left"/>
      <w:pPr>
        <w:tabs>
          <w:tab w:val="num" w:pos="3600"/>
        </w:tabs>
        <w:ind w:left="3600" w:hanging="360"/>
      </w:pPr>
      <w:rPr>
        <w:rFonts w:ascii="Symbol" w:hAnsi="Symbol" w:cs="Symbol" w:hint="default"/>
      </w:rPr>
    </w:lvl>
    <w:lvl w:ilvl="5" w:tplc="F150441A">
      <w:start w:val="1"/>
      <w:numFmt w:val="bullet"/>
      <w:lvlText w:val=""/>
      <w:lvlJc w:val="left"/>
      <w:pPr>
        <w:tabs>
          <w:tab w:val="num" w:pos="4320"/>
        </w:tabs>
        <w:ind w:left="4320" w:hanging="360"/>
      </w:pPr>
      <w:rPr>
        <w:rFonts w:ascii="Symbol" w:hAnsi="Symbol" w:cs="Symbol" w:hint="default"/>
      </w:rPr>
    </w:lvl>
    <w:lvl w:ilvl="6" w:tplc="082E27A8">
      <w:start w:val="1"/>
      <w:numFmt w:val="bullet"/>
      <w:lvlText w:val=""/>
      <w:lvlJc w:val="left"/>
      <w:pPr>
        <w:tabs>
          <w:tab w:val="num" w:pos="5040"/>
        </w:tabs>
        <w:ind w:left="5040" w:hanging="360"/>
      </w:pPr>
      <w:rPr>
        <w:rFonts w:ascii="Symbol" w:hAnsi="Symbol" w:cs="Symbol" w:hint="default"/>
      </w:rPr>
    </w:lvl>
    <w:lvl w:ilvl="7" w:tplc="A4AE385A">
      <w:start w:val="1"/>
      <w:numFmt w:val="bullet"/>
      <w:lvlText w:val=""/>
      <w:lvlJc w:val="left"/>
      <w:pPr>
        <w:tabs>
          <w:tab w:val="num" w:pos="5760"/>
        </w:tabs>
        <w:ind w:left="5760" w:hanging="360"/>
      </w:pPr>
      <w:rPr>
        <w:rFonts w:ascii="Symbol" w:hAnsi="Symbol" w:cs="Symbol" w:hint="default"/>
      </w:rPr>
    </w:lvl>
    <w:lvl w:ilvl="8" w:tplc="25103CC0">
      <w:start w:val="1"/>
      <w:numFmt w:val="bullet"/>
      <w:lvlText w:val=""/>
      <w:lvlJc w:val="left"/>
      <w:pPr>
        <w:tabs>
          <w:tab w:val="num" w:pos="6480"/>
        </w:tabs>
        <w:ind w:left="6480" w:hanging="360"/>
      </w:pPr>
      <w:rPr>
        <w:rFonts w:ascii="Symbol" w:hAnsi="Symbol" w:cs="Symbol" w:hint="default"/>
      </w:rPr>
    </w:lvl>
  </w:abstractNum>
  <w:abstractNum w:abstractNumId="5">
    <w:nsid w:val="58533B72"/>
    <w:multiLevelType w:val="hybridMultilevel"/>
    <w:tmpl w:val="8B409A3E"/>
    <w:lvl w:ilvl="0" w:tplc="D18C6ED4">
      <w:start w:val="1"/>
      <w:numFmt w:val="bullet"/>
      <w:lvlText w:val=""/>
      <w:lvlJc w:val="left"/>
      <w:pPr>
        <w:tabs>
          <w:tab w:val="num" w:pos="720"/>
        </w:tabs>
        <w:ind w:left="720" w:hanging="360"/>
      </w:pPr>
      <w:rPr>
        <w:rFonts w:ascii="Symbol" w:hAnsi="Symbol" w:cs="Symbol" w:hint="default"/>
      </w:rPr>
    </w:lvl>
    <w:lvl w:ilvl="1" w:tplc="56CEA350">
      <w:start w:val="1"/>
      <w:numFmt w:val="bullet"/>
      <w:lvlText w:val=""/>
      <w:lvlJc w:val="left"/>
      <w:pPr>
        <w:tabs>
          <w:tab w:val="num" w:pos="1440"/>
        </w:tabs>
        <w:ind w:left="1440" w:hanging="360"/>
      </w:pPr>
      <w:rPr>
        <w:rFonts w:ascii="Symbol" w:hAnsi="Symbol" w:cs="Symbol" w:hint="default"/>
      </w:rPr>
    </w:lvl>
    <w:lvl w:ilvl="2" w:tplc="D39EF9CA">
      <w:start w:val="1"/>
      <w:numFmt w:val="bullet"/>
      <w:lvlText w:val=""/>
      <w:lvlJc w:val="left"/>
      <w:pPr>
        <w:tabs>
          <w:tab w:val="num" w:pos="2160"/>
        </w:tabs>
        <w:ind w:left="2160" w:hanging="360"/>
      </w:pPr>
      <w:rPr>
        <w:rFonts w:ascii="Symbol" w:hAnsi="Symbol" w:cs="Symbol" w:hint="default"/>
      </w:rPr>
    </w:lvl>
    <w:lvl w:ilvl="3" w:tplc="638452CA">
      <w:start w:val="1"/>
      <w:numFmt w:val="bullet"/>
      <w:lvlText w:val=""/>
      <w:lvlJc w:val="left"/>
      <w:pPr>
        <w:tabs>
          <w:tab w:val="num" w:pos="2880"/>
        </w:tabs>
        <w:ind w:left="2880" w:hanging="360"/>
      </w:pPr>
      <w:rPr>
        <w:rFonts w:ascii="Symbol" w:hAnsi="Symbol" w:cs="Symbol" w:hint="default"/>
      </w:rPr>
    </w:lvl>
    <w:lvl w:ilvl="4" w:tplc="7194A120">
      <w:start w:val="1"/>
      <w:numFmt w:val="bullet"/>
      <w:lvlText w:val=""/>
      <w:lvlJc w:val="left"/>
      <w:pPr>
        <w:tabs>
          <w:tab w:val="num" w:pos="3600"/>
        </w:tabs>
        <w:ind w:left="3600" w:hanging="360"/>
      </w:pPr>
      <w:rPr>
        <w:rFonts w:ascii="Symbol" w:hAnsi="Symbol" w:cs="Symbol" w:hint="default"/>
      </w:rPr>
    </w:lvl>
    <w:lvl w:ilvl="5" w:tplc="D5C46424">
      <w:start w:val="1"/>
      <w:numFmt w:val="bullet"/>
      <w:lvlText w:val=""/>
      <w:lvlJc w:val="left"/>
      <w:pPr>
        <w:tabs>
          <w:tab w:val="num" w:pos="4320"/>
        </w:tabs>
        <w:ind w:left="4320" w:hanging="360"/>
      </w:pPr>
      <w:rPr>
        <w:rFonts w:ascii="Symbol" w:hAnsi="Symbol" w:cs="Symbol" w:hint="default"/>
      </w:rPr>
    </w:lvl>
    <w:lvl w:ilvl="6" w:tplc="2520A32A">
      <w:start w:val="1"/>
      <w:numFmt w:val="bullet"/>
      <w:lvlText w:val=""/>
      <w:lvlJc w:val="left"/>
      <w:pPr>
        <w:tabs>
          <w:tab w:val="num" w:pos="5040"/>
        </w:tabs>
        <w:ind w:left="5040" w:hanging="360"/>
      </w:pPr>
      <w:rPr>
        <w:rFonts w:ascii="Symbol" w:hAnsi="Symbol" w:cs="Symbol" w:hint="default"/>
      </w:rPr>
    </w:lvl>
    <w:lvl w:ilvl="7" w:tplc="07083128">
      <w:start w:val="1"/>
      <w:numFmt w:val="bullet"/>
      <w:lvlText w:val=""/>
      <w:lvlJc w:val="left"/>
      <w:pPr>
        <w:tabs>
          <w:tab w:val="num" w:pos="5760"/>
        </w:tabs>
        <w:ind w:left="5760" w:hanging="360"/>
      </w:pPr>
      <w:rPr>
        <w:rFonts w:ascii="Symbol" w:hAnsi="Symbol" w:cs="Symbol" w:hint="default"/>
      </w:rPr>
    </w:lvl>
    <w:lvl w:ilvl="8" w:tplc="38709B08">
      <w:start w:val="1"/>
      <w:numFmt w:val="bullet"/>
      <w:lvlText w:val=""/>
      <w:lvlJc w:val="left"/>
      <w:pPr>
        <w:tabs>
          <w:tab w:val="num" w:pos="6480"/>
        </w:tabs>
        <w:ind w:left="6480" w:hanging="360"/>
      </w:pPr>
      <w:rPr>
        <w:rFonts w:ascii="Symbol" w:hAnsi="Symbol" w:cs="Symbol" w:hint="default"/>
      </w:rPr>
    </w:lvl>
  </w:abstractNum>
  <w:abstractNum w:abstractNumId="6">
    <w:nsid w:val="6CDD3992"/>
    <w:multiLevelType w:val="hybridMultilevel"/>
    <w:tmpl w:val="AA307110"/>
    <w:lvl w:ilvl="0" w:tplc="F6025528">
      <w:start w:val="1"/>
      <w:numFmt w:val="bullet"/>
      <w:lvlText w:val=""/>
      <w:lvlJc w:val="left"/>
      <w:pPr>
        <w:tabs>
          <w:tab w:val="num" w:pos="720"/>
        </w:tabs>
        <w:ind w:left="720" w:hanging="360"/>
      </w:pPr>
      <w:rPr>
        <w:rFonts w:ascii="Symbol" w:hAnsi="Symbol" w:cs="Symbol" w:hint="default"/>
      </w:rPr>
    </w:lvl>
    <w:lvl w:ilvl="1" w:tplc="6BE0CB1A">
      <w:start w:val="1"/>
      <w:numFmt w:val="bullet"/>
      <w:lvlText w:val=""/>
      <w:lvlJc w:val="left"/>
      <w:pPr>
        <w:tabs>
          <w:tab w:val="num" w:pos="1440"/>
        </w:tabs>
        <w:ind w:left="1440" w:hanging="360"/>
      </w:pPr>
      <w:rPr>
        <w:rFonts w:ascii="Symbol" w:hAnsi="Symbol" w:cs="Symbol" w:hint="default"/>
      </w:rPr>
    </w:lvl>
    <w:lvl w:ilvl="2" w:tplc="4FA86D62">
      <w:start w:val="1"/>
      <w:numFmt w:val="bullet"/>
      <w:lvlText w:val=""/>
      <w:lvlJc w:val="left"/>
      <w:pPr>
        <w:tabs>
          <w:tab w:val="num" w:pos="2160"/>
        </w:tabs>
        <w:ind w:left="2160" w:hanging="360"/>
      </w:pPr>
      <w:rPr>
        <w:rFonts w:ascii="Symbol" w:hAnsi="Symbol" w:cs="Symbol" w:hint="default"/>
      </w:rPr>
    </w:lvl>
    <w:lvl w:ilvl="3" w:tplc="B6BA71F4">
      <w:start w:val="1"/>
      <w:numFmt w:val="bullet"/>
      <w:lvlText w:val=""/>
      <w:lvlJc w:val="left"/>
      <w:pPr>
        <w:tabs>
          <w:tab w:val="num" w:pos="2880"/>
        </w:tabs>
        <w:ind w:left="2880" w:hanging="360"/>
      </w:pPr>
      <w:rPr>
        <w:rFonts w:ascii="Symbol" w:hAnsi="Symbol" w:cs="Symbol" w:hint="default"/>
      </w:rPr>
    </w:lvl>
    <w:lvl w:ilvl="4" w:tplc="01BA77F2">
      <w:start w:val="1"/>
      <w:numFmt w:val="bullet"/>
      <w:lvlText w:val=""/>
      <w:lvlJc w:val="left"/>
      <w:pPr>
        <w:tabs>
          <w:tab w:val="num" w:pos="3600"/>
        </w:tabs>
        <w:ind w:left="3600" w:hanging="360"/>
      </w:pPr>
      <w:rPr>
        <w:rFonts w:ascii="Symbol" w:hAnsi="Symbol" w:cs="Symbol" w:hint="default"/>
      </w:rPr>
    </w:lvl>
    <w:lvl w:ilvl="5" w:tplc="DE1C829C">
      <w:start w:val="1"/>
      <w:numFmt w:val="bullet"/>
      <w:lvlText w:val=""/>
      <w:lvlJc w:val="left"/>
      <w:pPr>
        <w:tabs>
          <w:tab w:val="num" w:pos="4320"/>
        </w:tabs>
        <w:ind w:left="4320" w:hanging="360"/>
      </w:pPr>
      <w:rPr>
        <w:rFonts w:ascii="Symbol" w:hAnsi="Symbol" w:cs="Symbol" w:hint="default"/>
      </w:rPr>
    </w:lvl>
    <w:lvl w:ilvl="6" w:tplc="34E6E350">
      <w:start w:val="1"/>
      <w:numFmt w:val="bullet"/>
      <w:lvlText w:val=""/>
      <w:lvlJc w:val="left"/>
      <w:pPr>
        <w:tabs>
          <w:tab w:val="num" w:pos="5040"/>
        </w:tabs>
        <w:ind w:left="5040" w:hanging="360"/>
      </w:pPr>
      <w:rPr>
        <w:rFonts w:ascii="Symbol" w:hAnsi="Symbol" w:cs="Symbol" w:hint="default"/>
      </w:rPr>
    </w:lvl>
    <w:lvl w:ilvl="7" w:tplc="17185E52">
      <w:start w:val="1"/>
      <w:numFmt w:val="bullet"/>
      <w:lvlText w:val=""/>
      <w:lvlJc w:val="left"/>
      <w:pPr>
        <w:tabs>
          <w:tab w:val="num" w:pos="5760"/>
        </w:tabs>
        <w:ind w:left="5760" w:hanging="360"/>
      </w:pPr>
      <w:rPr>
        <w:rFonts w:ascii="Symbol" w:hAnsi="Symbol" w:cs="Symbol" w:hint="default"/>
      </w:rPr>
    </w:lvl>
    <w:lvl w:ilvl="8" w:tplc="D62CDF90">
      <w:start w:val="1"/>
      <w:numFmt w:val="bullet"/>
      <w:lvlText w:val=""/>
      <w:lvlJc w:val="left"/>
      <w:pPr>
        <w:tabs>
          <w:tab w:val="num" w:pos="6480"/>
        </w:tabs>
        <w:ind w:left="6480" w:hanging="360"/>
      </w:pPr>
      <w:rPr>
        <w:rFonts w:ascii="Symbol" w:hAnsi="Symbol" w:cs="Symbol"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052B05"/>
    <w:rsid w:val="00001DA9"/>
    <w:rsid w:val="00052B05"/>
    <w:rsid w:val="0006366D"/>
    <w:rsid w:val="000954D6"/>
    <w:rsid w:val="000C6F96"/>
    <w:rsid w:val="00162FF0"/>
    <w:rsid w:val="001829EC"/>
    <w:rsid w:val="001A1427"/>
    <w:rsid w:val="001B7670"/>
    <w:rsid w:val="001C1C58"/>
    <w:rsid w:val="002639DB"/>
    <w:rsid w:val="002649D2"/>
    <w:rsid w:val="0027005F"/>
    <w:rsid w:val="002E0520"/>
    <w:rsid w:val="0035214E"/>
    <w:rsid w:val="003659E4"/>
    <w:rsid w:val="003B792B"/>
    <w:rsid w:val="003C062C"/>
    <w:rsid w:val="00495A2D"/>
    <w:rsid w:val="004F0508"/>
    <w:rsid w:val="005342AF"/>
    <w:rsid w:val="00547DBE"/>
    <w:rsid w:val="00560EA7"/>
    <w:rsid w:val="00563480"/>
    <w:rsid w:val="005768F5"/>
    <w:rsid w:val="005A2760"/>
    <w:rsid w:val="00661E27"/>
    <w:rsid w:val="00670B55"/>
    <w:rsid w:val="00691370"/>
    <w:rsid w:val="006B1AE2"/>
    <w:rsid w:val="006D2FB7"/>
    <w:rsid w:val="007C28F3"/>
    <w:rsid w:val="007E68B6"/>
    <w:rsid w:val="0082259F"/>
    <w:rsid w:val="00830B22"/>
    <w:rsid w:val="0089453B"/>
    <w:rsid w:val="008E74A3"/>
    <w:rsid w:val="009078C5"/>
    <w:rsid w:val="009312C5"/>
    <w:rsid w:val="00950119"/>
    <w:rsid w:val="009563EC"/>
    <w:rsid w:val="00963B26"/>
    <w:rsid w:val="009E67F7"/>
    <w:rsid w:val="00A052B5"/>
    <w:rsid w:val="00A13E38"/>
    <w:rsid w:val="00AC20A8"/>
    <w:rsid w:val="00C971BF"/>
    <w:rsid w:val="00CA3F7A"/>
    <w:rsid w:val="00D324BC"/>
    <w:rsid w:val="00DD3CE9"/>
    <w:rsid w:val="00E234DD"/>
    <w:rsid w:val="00E47986"/>
    <w:rsid w:val="00EC0EF8"/>
    <w:rsid w:val="00F51B71"/>
    <w:rsid w:val="00F77D05"/>
    <w:rsid w:val="00FD24A4"/>
    <w:rsid w:val="00FE3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7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D05"/>
  </w:style>
  <w:style w:type="paragraph" w:styleId="Footer">
    <w:name w:val="footer"/>
    <w:basedOn w:val="Normal"/>
    <w:link w:val="FooterChar"/>
    <w:uiPriority w:val="99"/>
    <w:rsid w:val="00F7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05"/>
  </w:style>
  <w:style w:type="paragraph" w:styleId="ListParagraph">
    <w:name w:val="List Paragraph"/>
    <w:basedOn w:val="Normal"/>
    <w:uiPriority w:val="99"/>
    <w:qFormat/>
    <w:rsid w:val="00EC0EF8"/>
    <w:pPr>
      <w:ind w:left="720"/>
    </w:pPr>
  </w:style>
  <w:style w:type="paragraph" w:styleId="BalloonText">
    <w:name w:val="Balloon Text"/>
    <w:basedOn w:val="Normal"/>
    <w:link w:val="BalloonTextChar"/>
    <w:uiPriority w:val="99"/>
    <w:semiHidden/>
    <w:rsid w:val="00495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A2D"/>
    <w:rPr>
      <w:rFonts w:ascii="Tahoma" w:hAnsi="Tahoma" w:cs="Tahoma"/>
      <w:sz w:val="16"/>
      <w:szCs w:val="16"/>
    </w:rPr>
  </w:style>
  <w:style w:type="paragraph" w:styleId="EndnoteText">
    <w:name w:val="endnote text"/>
    <w:basedOn w:val="Normal"/>
    <w:link w:val="EndnoteTextChar"/>
    <w:uiPriority w:val="99"/>
    <w:semiHidden/>
    <w:rsid w:val="0049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5A2D"/>
    <w:rPr>
      <w:sz w:val="20"/>
      <w:szCs w:val="20"/>
    </w:rPr>
  </w:style>
  <w:style w:type="character" w:styleId="EndnoteReference">
    <w:name w:val="endnote reference"/>
    <w:basedOn w:val="DefaultParagraphFont"/>
    <w:uiPriority w:val="99"/>
    <w:semiHidden/>
    <w:rsid w:val="00495A2D"/>
    <w:rPr>
      <w:vertAlign w:val="superscript"/>
    </w:rPr>
  </w:style>
  <w:style w:type="paragraph" w:styleId="FootnoteText">
    <w:name w:val="footnote text"/>
    <w:basedOn w:val="Normal"/>
    <w:link w:val="FootnoteTextChar"/>
    <w:uiPriority w:val="99"/>
    <w:semiHidden/>
    <w:rsid w:val="00495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5A2D"/>
    <w:rPr>
      <w:sz w:val="20"/>
      <w:szCs w:val="20"/>
    </w:rPr>
  </w:style>
  <w:style w:type="character" w:styleId="FootnoteReference">
    <w:name w:val="footnote reference"/>
    <w:basedOn w:val="DefaultParagraphFont"/>
    <w:uiPriority w:val="99"/>
    <w:semiHidden/>
    <w:rsid w:val="00495A2D"/>
    <w:rPr>
      <w:vertAlign w:val="superscript"/>
    </w:rPr>
  </w:style>
  <w:style w:type="character" w:styleId="Hyperlink">
    <w:name w:val="Hyperlink"/>
    <w:basedOn w:val="DefaultParagraphFont"/>
    <w:uiPriority w:val="99"/>
    <w:rsid w:val="00495A2D"/>
    <w:rPr>
      <w:color w:val="0000FF"/>
      <w:u w:val="single"/>
    </w:rPr>
  </w:style>
  <w:style w:type="paragraph" w:styleId="Revision">
    <w:name w:val="Revision"/>
    <w:hidden/>
    <w:uiPriority w:val="99"/>
    <w:semiHidden/>
    <w:rsid w:val="00001DA9"/>
    <w:rPr>
      <w:rFonts w:cs="Calibri"/>
    </w:rPr>
  </w:style>
</w:styles>
</file>

<file path=word/webSettings.xml><?xml version="1.0" encoding="utf-8"?>
<w:webSettings xmlns:r="http://schemas.openxmlformats.org/officeDocument/2006/relationships" xmlns:w="http://schemas.openxmlformats.org/wordprocessingml/2006/main">
  <w:divs>
    <w:div w:id="684524151">
      <w:marLeft w:val="0"/>
      <w:marRight w:val="0"/>
      <w:marTop w:val="0"/>
      <w:marBottom w:val="0"/>
      <w:divBdr>
        <w:top w:val="none" w:sz="0" w:space="0" w:color="auto"/>
        <w:left w:val="none" w:sz="0" w:space="0" w:color="auto"/>
        <w:bottom w:val="none" w:sz="0" w:space="0" w:color="auto"/>
        <w:right w:val="none" w:sz="0" w:space="0" w:color="auto"/>
      </w:divBdr>
      <w:divsChild>
        <w:div w:id="684524147">
          <w:marLeft w:val="0"/>
          <w:marRight w:val="0"/>
          <w:marTop w:val="154"/>
          <w:marBottom w:val="0"/>
          <w:divBdr>
            <w:top w:val="none" w:sz="0" w:space="0" w:color="auto"/>
            <w:left w:val="none" w:sz="0" w:space="0" w:color="auto"/>
            <w:bottom w:val="none" w:sz="0" w:space="0" w:color="auto"/>
            <w:right w:val="none" w:sz="0" w:space="0" w:color="auto"/>
          </w:divBdr>
        </w:div>
        <w:div w:id="684524148">
          <w:marLeft w:val="0"/>
          <w:marRight w:val="0"/>
          <w:marTop w:val="154"/>
          <w:marBottom w:val="0"/>
          <w:divBdr>
            <w:top w:val="none" w:sz="0" w:space="0" w:color="auto"/>
            <w:left w:val="none" w:sz="0" w:space="0" w:color="auto"/>
            <w:bottom w:val="none" w:sz="0" w:space="0" w:color="auto"/>
            <w:right w:val="none" w:sz="0" w:space="0" w:color="auto"/>
          </w:divBdr>
        </w:div>
        <w:div w:id="684524149">
          <w:marLeft w:val="0"/>
          <w:marRight w:val="0"/>
          <w:marTop w:val="154"/>
          <w:marBottom w:val="0"/>
          <w:divBdr>
            <w:top w:val="none" w:sz="0" w:space="0" w:color="auto"/>
            <w:left w:val="none" w:sz="0" w:space="0" w:color="auto"/>
            <w:bottom w:val="none" w:sz="0" w:space="0" w:color="auto"/>
            <w:right w:val="none" w:sz="0" w:space="0" w:color="auto"/>
          </w:divBdr>
        </w:div>
        <w:div w:id="684524150">
          <w:marLeft w:val="0"/>
          <w:marRight w:val="0"/>
          <w:marTop w:val="154"/>
          <w:marBottom w:val="0"/>
          <w:divBdr>
            <w:top w:val="none" w:sz="0" w:space="0" w:color="auto"/>
            <w:left w:val="none" w:sz="0" w:space="0" w:color="auto"/>
            <w:bottom w:val="none" w:sz="0" w:space="0" w:color="auto"/>
            <w:right w:val="none" w:sz="0" w:space="0" w:color="auto"/>
          </w:divBdr>
        </w:div>
        <w:div w:id="684524152">
          <w:marLeft w:val="0"/>
          <w:marRight w:val="0"/>
          <w:marTop w:val="154"/>
          <w:marBottom w:val="0"/>
          <w:divBdr>
            <w:top w:val="none" w:sz="0" w:space="0" w:color="auto"/>
            <w:left w:val="none" w:sz="0" w:space="0" w:color="auto"/>
            <w:bottom w:val="none" w:sz="0" w:space="0" w:color="auto"/>
            <w:right w:val="none" w:sz="0" w:space="0" w:color="auto"/>
          </w:divBdr>
        </w:div>
        <w:div w:id="684524153">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PatrickThornberry:Desktop:expenditure%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U.S. National Health Expenditure 1960-2007</a:t>
            </a:r>
          </a:p>
          <a:p>
            <a:pPr>
              <a:defRPr/>
            </a:pPr>
            <a:r>
              <a:rPr lang="en-US" sz="1400"/>
              <a:t>(in billions)</a:t>
            </a:r>
          </a:p>
        </c:rich>
      </c:tx>
    </c:title>
    <c:plotArea>
      <c:layout/>
      <c:scatterChart>
        <c:scatterStyle val="smoothMarker"/>
        <c:ser>
          <c:idx val="0"/>
          <c:order val="0"/>
          <c:tx>
            <c:strRef>
              <c:f>Sheet1!$C$8</c:f>
              <c:strCache>
                <c:ptCount val="1"/>
                <c:pt idx="0">
                  <c:v>Expenditure ($ in billions)</c:v>
                </c:pt>
              </c:strCache>
            </c:strRef>
          </c:tx>
          <c:marker>
            <c:symbol val="none"/>
          </c:marker>
          <c:xVal>
            <c:numRef>
              <c:f>Sheet1!$B$9:$B$24</c:f>
              <c:numCache>
                <c:formatCode>General</c:formatCode>
                <c:ptCount val="16"/>
                <c:pt idx="0">
                  <c:v>1960</c:v>
                </c:pt>
                <c:pt idx="1">
                  <c:v>1970</c:v>
                </c:pt>
                <c:pt idx="2">
                  <c:v>1980</c:v>
                </c:pt>
                <c:pt idx="3">
                  <c:v>1990</c:v>
                </c:pt>
                <c:pt idx="4">
                  <c:v>1993</c:v>
                </c:pt>
                <c:pt idx="5">
                  <c:v>1997</c:v>
                </c:pt>
                <c:pt idx="6">
                  <c:v>1998</c:v>
                </c:pt>
                <c:pt idx="7">
                  <c:v>1999</c:v>
                </c:pt>
                <c:pt idx="8">
                  <c:v>2000</c:v>
                </c:pt>
                <c:pt idx="9">
                  <c:v>2001</c:v>
                </c:pt>
                <c:pt idx="10">
                  <c:v>2002</c:v>
                </c:pt>
                <c:pt idx="11">
                  <c:v>2003</c:v>
                </c:pt>
                <c:pt idx="12">
                  <c:v>2004</c:v>
                </c:pt>
                <c:pt idx="13">
                  <c:v>2005</c:v>
                </c:pt>
                <c:pt idx="14">
                  <c:v>2006</c:v>
                </c:pt>
                <c:pt idx="15">
                  <c:v>2007</c:v>
                </c:pt>
              </c:numCache>
            </c:numRef>
          </c:xVal>
          <c:yVal>
            <c:numRef>
              <c:f>Sheet1!$C$9:$C$24</c:f>
              <c:numCache>
                <c:formatCode>_("$"* #,##0.00_);_("$"* \(#,##0.00\);_("$"* "-"??_);_(@_)</c:formatCode>
                <c:ptCount val="16"/>
                <c:pt idx="0">
                  <c:v>27.5</c:v>
                </c:pt>
                <c:pt idx="1">
                  <c:v>74.900000000000006</c:v>
                </c:pt>
                <c:pt idx="2">
                  <c:v>253.4</c:v>
                </c:pt>
                <c:pt idx="3">
                  <c:v>714.1</c:v>
                </c:pt>
                <c:pt idx="4">
                  <c:v>912.5</c:v>
                </c:pt>
                <c:pt idx="5">
                  <c:v>1124.9000000000001</c:v>
                </c:pt>
                <c:pt idx="6">
                  <c:v>1190.0999999999999</c:v>
                </c:pt>
                <c:pt idx="7">
                  <c:v>1265.2</c:v>
                </c:pt>
                <c:pt idx="8">
                  <c:v>1353.2</c:v>
                </c:pt>
                <c:pt idx="9">
                  <c:v>1469.4</c:v>
                </c:pt>
                <c:pt idx="10">
                  <c:v>1602.3</c:v>
                </c:pt>
                <c:pt idx="11">
                  <c:v>1734.9</c:v>
                </c:pt>
                <c:pt idx="12">
                  <c:v>1854.8</c:v>
                </c:pt>
                <c:pt idx="13">
                  <c:v>1980.6</c:v>
                </c:pt>
                <c:pt idx="14">
                  <c:v>2112.6999999999998</c:v>
                </c:pt>
                <c:pt idx="15">
                  <c:v>2241.1999999999998</c:v>
                </c:pt>
              </c:numCache>
            </c:numRef>
          </c:yVal>
          <c:smooth val="1"/>
        </c:ser>
        <c:axId val="69137536"/>
        <c:axId val="132953984"/>
      </c:scatterChart>
      <c:valAx>
        <c:axId val="69137536"/>
        <c:scaling>
          <c:orientation val="minMax"/>
          <c:max val="2007"/>
          <c:min val="1960"/>
        </c:scaling>
        <c:axPos val="b"/>
        <c:numFmt formatCode="General" sourceLinked="1"/>
        <c:tickLblPos val="nextTo"/>
        <c:crossAx val="132953984"/>
        <c:crosses val="autoZero"/>
        <c:crossBetween val="midCat"/>
      </c:valAx>
      <c:valAx>
        <c:axId val="132953984"/>
        <c:scaling>
          <c:orientation val="minMax"/>
        </c:scaling>
        <c:axPos val="l"/>
        <c:majorGridlines/>
        <c:numFmt formatCode="_(&quot;$&quot;* #,##0.00_);_(&quot;$&quot;* \(#,##0.00\);_(&quot;$&quot;* &quot;-&quot;??_);_(@_)" sourceLinked="1"/>
        <c:tickLblPos val="nextTo"/>
        <c:crossAx val="69137536"/>
        <c:crosses val="autoZero"/>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1020</Words>
  <Characters>5815</Characters>
  <Application>Microsoft Office Word</Application>
  <DocSecurity>0</DocSecurity>
  <Lines>48</Lines>
  <Paragraphs>13</Paragraphs>
  <ScaleCrop>false</ScaleCrop>
  <Company>Indiana University</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 student</dc:creator>
  <cp:keywords/>
  <dc:description/>
  <cp:lastModifiedBy>GX280</cp:lastModifiedBy>
  <cp:revision>9</cp:revision>
  <dcterms:created xsi:type="dcterms:W3CDTF">2009-04-23T22:05:00Z</dcterms:created>
  <dcterms:modified xsi:type="dcterms:W3CDTF">2009-04-23T22:17:00Z</dcterms:modified>
</cp:coreProperties>
</file>